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40E15" w14:textId="112D6137" w:rsidR="00DB46E3" w:rsidRPr="00680D58" w:rsidRDefault="000E308F" w:rsidP="001B7E47">
      <w:pPr>
        <w:jc w:val="both"/>
        <w:rPr>
          <w:u w:val="single"/>
        </w:rPr>
      </w:pPr>
      <w:r w:rsidRPr="00680D58">
        <w:rPr>
          <w:u w:val="single"/>
        </w:rPr>
        <w:t>Situation existante :</w:t>
      </w:r>
    </w:p>
    <w:p w14:paraId="002950BC" w14:textId="09EDDAA0" w:rsidR="00E7280D" w:rsidRDefault="00E7280D" w:rsidP="001B7E47">
      <w:pPr>
        <w:jc w:val="both"/>
      </w:pPr>
      <w:r>
        <w:t>L</w:t>
      </w:r>
      <w:r w:rsidR="000E308F">
        <w:t>es installations du tunnel de Taverny sont alimentées en coupure d’artère depuis le départ « Marcel » du poste</w:t>
      </w:r>
      <w:r>
        <w:t xml:space="preserve"> source 225kV/20kV</w:t>
      </w:r>
      <w:r w:rsidR="000E308F">
        <w:t xml:space="preserve"> Herblay ENEDIS</w:t>
      </w:r>
      <w:r>
        <w:t>.</w:t>
      </w:r>
    </w:p>
    <w:p w14:paraId="5B63A7AE" w14:textId="6CA045A2" w:rsidR="00E7280D" w:rsidRPr="00680D58" w:rsidRDefault="00E7280D" w:rsidP="001B7E47">
      <w:pPr>
        <w:jc w:val="both"/>
        <w:rPr>
          <w:u w:val="single"/>
        </w:rPr>
      </w:pPr>
      <w:r w:rsidRPr="00680D58">
        <w:rPr>
          <w:u w:val="single"/>
        </w:rPr>
        <w:t xml:space="preserve">Projet : </w:t>
      </w:r>
    </w:p>
    <w:p w14:paraId="3E2B1CDA" w14:textId="77777777" w:rsidR="005B5323" w:rsidRDefault="00E7280D" w:rsidP="001B7E47">
      <w:pPr>
        <w:jc w:val="both"/>
      </w:pPr>
      <w:r>
        <w:t xml:space="preserve">Dans le cadre de la modernisation de la tranchée couverte de Taverny, la </w:t>
      </w:r>
      <w:proofErr w:type="spellStart"/>
      <w:r>
        <w:t>Dirif</w:t>
      </w:r>
      <w:proofErr w:type="spellEnd"/>
      <w:r>
        <w:t xml:space="preserve"> souhaite disposer d’une deuxième alimentation HTA </w:t>
      </w:r>
    </w:p>
    <w:p w14:paraId="27E0B051" w14:textId="5B94F95B" w:rsidR="00E7280D" w:rsidRDefault="005B5323" w:rsidP="005B5323">
      <w:pPr>
        <w:pStyle w:val="Paragraphedeliste"/>
        <w:numPr>
          <w:ilvl w:val="0"/>
          <w:numId w:val="1"/>
        </w:numPr>
        <w:jc w:val="both"/>
      </w:pPr>
      <w:proofErr w:type="gramStart"/>
      <w:r>
        <w:t>soit</w:t>
      </w:r>
      <w:proofErr w:type="gramEnd"/>
      <w:r>
        <w:t xml:space="preserve"> </w:t>
      </w:r>
      <w:r w:rsidR="00E7280D">
        <w:t>en provenance d’un poste source différent du poste d’Herblay, ceci afin de sécuriser l’alimentation HTA du tunnel, en application de la directive « </w:t>
      </w:r>
      <w:r w:rsidR="00441B01">
        <w:t>Ar</w:t>
      </w:r>
      <w:r w:rsidR="00E7280D">
        <w:t xml:space="preserve">chitecture électrique » de la </w:t>
      </w:r>
      <w:proofErr w:type="spellStart"/>
      <w:r w:rsidR="00E7280D">
        <w:t>Dirif</w:t>
      </w:r>
      <w:proofErr w:type="spellEnd"/>
      <w:r w:rsidR="00E7280D">
        <w:t>.</w:t>
      </w:r>
    </w:p>
    <w:p w14:paraId="7D2EF318" w14:textId="71E3EDF1" w:rsidR="005B5323" w:rsidRDefault="005B5323" w:rsidP="005B5323">
      <w:pPr>
        <w:pStyle w:val="Paragraphedeliste"/>
        <w:numPr>
          <w:ilvl w:val="0"/>
          <w:numId w:val="1"/>
        </w:numPr>
        <w:jc w:val="both"/>
      </w:pPr>
      <w:proofErr w:type="gramStart"/>
      <w:r>
        <w:t>soit</w:t>
      </w:r>
      <w:proofErr w:type="gramEnd"/>
      <w:r>
        <w:t xml:space="preserve"> en provenance du poste d’Herblay, mais issu d’une travée transfo HTB/HTA différente de celle alimentant le départ « Marcel », et dont le cheminement de la liaison souterraine est distinct de la LS issue du départ Marcel sur toute la longueur de son parcours.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B5323" w14:paraId="2E796522" w14:textId="77777777" w:rsidTr="0045442E">
        <w:tc>
          <w:tcPr>
            <w:tcW w:w="1812" w:type="dxa"/>
          </w:tcPr>
          <w:p w14:paraId="0733F5B0" w14:textId="77777777" w:rsidR="005B5323" w:rsidRDefault="005B5323" w:rsidP="0045442E"/>
        </w:tc>
        <w:tc>
          <w:tcPr>
            <w:tcW w:w="1812" w:type="dxa"/>
          </w:tcPr>
          <w:p w14:paraId="6F650952" w14:textId="2A984D81" w:rsidR="005B5323" w:rsidRDefault="005B5323" w:rsidP="0045442E">
            <w:pPr>
              <w:jc w:val="center"/>
            </w:pPr>
            <w:r>
              <w:t>Départ différent du départ « Marcel »</w:t>
            </w:r>
          </w:p>
        </w:tc>
        <w:tc>
          <w:tcPr>
            <w:tcW w:w="1812" w:type="dxa"/>
          </w:tcPr>
          <w:p w14:paraId="12238B53" w14:textId="4DE4B4FE" w:rsidR="005B5323" w:rsidRDefault="005B5323" w:rsidP="0045442E">
            <w:pPr>
              <w:jc w:val="center"/>
            </w:pPr>
            <w:r>
              <w:t>Transfo HTB/HTA différent de celui alimentant en nominal le départ « Marcel »</w:t>
            </w:r>
          </w:p>
          <w:p w14:paraId="78A49E6E" w14:textId="77777777" w:rsidR="005B5323" w:rsidRDefault="005B5323" w:rsidP="0045442E">
            <w:pPr>
              <w:jc w:val="center"/>
            </w:pPr>
          </w:p>
        </w:tc>
        <w:tc>
          <w:tcPr>
            <w:tcW w:w="1813" w:type="dxa"/>
          </w:tcPr>
          <w:p w14:paraId="5E5ED367" w14:textId="64162D99" w:rsidR="005B5323" w:rsidRDefault="005B5323" w:rsidP="0045442E">
            <w:pPr>
              <w:jc w:val="center"/>
            </w:pPr>
            <w:r>
              <w:t>Poste Source autre que Herblay</w:t>
            </w:r>
          </w:p>
        </w:tc>
        <w:tc>
          <w:tcPr>
            <w:tcW w:w="1813" w:type="dxa"/>
          </w:tcPr>
          <w:p w14:paraId="76E0F08E" w14:textId="181F8218" w:rsidR="005B5323" w:rsidRDefault="005B5323" w:rsidP="0045442E">
            <w:pPr>
              <w:jc w:val="center"/>
            </w:pPr>
            <w:r>
              <w:t>Parcours de la LS distinct sur toute sa longueur de la LS issue du départ « Marcel »</w:t>
            </w:r>
          </w:p>
        </w:tc>
      </w:tr>
      <w:tr w:rsidR="005B5323" w14:paraId="3B933DB9" w14:textId="77777777" w:rsidTr="0045442E">
        <w:tc>
          <w:tcPr>
            <w:tcW w:w="1812" w:type="dxa"/>
          </w:tcPr>
          <w:p w14:paraId="02299269" w14:textId="7EC21177" w:rsidR="005B5323" w:rsidRPr="005B5323" w:rsidRDefault="005B5323" w:rsidP="0045442E">
            <w:proofErr w:type="gramStart"/>
            <w:r w:rsidRPr="005B5323">
              <w:t>solution</w:t>
            </w:r>
            <w:proofErr w:type="gramEnd"/>
            <w:r w:rsidRPr="005B5323">
              <w:t xml:space="preserve"> 1</w:t>
            </w:r>
          </w:p>
        </w:tc>
        <w:tc>
          <w:tcPr>
            <w:tcW w:w="1812" w:type="dxa"/>
          </w:tcPr>
          <w:p w14:paraId="0FE27D72" w14:textId="06F042EB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  <w:tc>
          <w:tcPr>
            <w:tcW w:w="1812" w:type="dxa"/>
          </w:tcPr>
          <w:p w14:paraId="53189D24" w14:textId="3383E2DE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  <w:tc>
          <w:tcPr>
            <w:tcW w:w="1813" w:type="dxa"/>
          </w:tcPr>
          <w:p w14:paraId="7251466A" w14:textId="667E084F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  <w:tc>
          <w:tcPr>
            <w:tcW w:w="1813" w:type="dxa"/>
          </w:tcPr>
          <w:p w14:paraId="330756A1" w14:textId="6064782E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</w:tr>
      <w:tr w:rsidR="005B5323" w:rsidRPr="00637648" w14:paraId="65D41A80" w14:textId="77777777" w:rsidTr="0045442E">
        <w:tc>
          <w:tcPr>
            <w:tcW w:w="1812" w:type="dxa"/>
          </w:tcPr>
          <w:p w14:paraId="1AB3B6E1" w14:textId="79F4F8E6" w:rsidR="005B5323" w:rsidRPr="005B5323" w:rsidRDefault="005B5323" w:rsidP="0045442E">
            <w:proofErr w:type="gramStart"/>
            <w:r w:rsidRPr="005B5323">
              <w:t>solution</w:t>
            </w:r>
            <w:proofErr w:type="gramEnd"/>
            <w:r w:rsidRPr="005B5323">
              <w:t xml:space="preserve"> 2</w:t>
            </w:r>
          </w:p>
        </w:tc>
        <w:tc>
          <w:tcPr>
            <w:tcW w:w="1812" w:type="dxa"/>
          </w:tcPr>
          <w:p w14:paraId="7B7B92F4" w14:textId="2B2B6A63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  <w:tc>
          <w:tcPr>
            <w:tcW w:w="1812" w:type="dxa"/>
          </w:tcPr>
          <w:p w14:paraId="4EC183D7" w14:textId="134DCD36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  <w:tc>
          <w:tcPr>
            <w:tcW w:w="1813" w:type="dxa"/>
          </w:tcPr>
          <w:p w14:paraId="70EBA9D7" w14:textId="20C71E43" w:rsidR="005B5323" w:rsidRPr="005B5323" w:rsidRDefault="005B5323" w:rsidP="0045442E">
            <w:pPr>
              <w:jc w:val="center"/>
            </w:pPr>
            <w:proofErr w:type="gramStart"/>
            <w:r w:rsidRPr="005B5323">
              <w:t>non</w:t>
            </w:r>
            <w:proofErr w:type="gramEnd"/>
          </w:p>
        </w:tc>
        <w:tc>
          <w:tcPr>
            <w:tcW w:w="1813" w:type="dxa"/>
          </w:tcPr>
          <w:p w14:paraId="6C71D3B8" w14:textId="1A70B1C8" w:rsidR="005B5323" w:rsidRPr="005B5323" w:rsidRDefault="005B5323" w:rsidP="0045442E">
            <w:pPr>
              <w:jc w:val="center"/>
            </w:pPr>
            <w:proofErr w:type="gramStart"/>
            <w:r w:rsidRPr="005B5323">
              <w:t>oui</w:t>
            </w:r>
            <w:proofErr w:type="gramEnd"/>
          </w:p>
        </w:tc>
      </w:tr>
    </w:tbl>
    <w:p w14:paraId="502C2704" w14:textId="77777777" w:rsidR="005B5323" w:rsidRDefault="005B5323" w:rsidP="005B5323">
      <w:pPr>
        <w:jc w:val="both"/>
      </w:pPr>
    </w:p>
    <w:p w14:paraId="214DFC60" w14:textId="247377B4" w:rsidR="0019263F" w:rsidRDefault="00EB1B43" w:rsidP="001B7E47">
      <w:pPr>
        <w:jc w:val="both"/>
      </w:pPr>
      <w:r>
        <w:t xml:space="preserve">Pour ce faire il est prévu l’extension du local technique existant </w:t>
      </w:r>
      <w:r w:rsidR="00163359">
        <w:t xml:space="preserve">(situé sur la parcelle BN083) </w:t>
      </w:r>
      <w:r>
        <w:t>et la mise en œuvre d’un nouveau tableau HTA (dit « tableau HTA B »). Le tableau HTA existant (dit « tableau HTA A ») sera remplacé par du matériel neuf et l’alimentation depuis le</w:t>
      </w:r>
      <w:r w:rsidR="00441B01">
        <w:t xml:space="preserve"> départ « Marcel » du</w:t>
      </w:r>
      <w:r>
        <w:t xml:space="preserve"> poste d’Herblay sera conservée pour l’alimentation de ce tableau.</w:t>
      </w:r>
      <w:r w:rsidR="0019263F">
        <w:t xml:space="preserve"> </w:t>
      </w:r>
    </w:p>
    <w:p w14:paraId="49323EA1" w14:textId="420D954F" w:rsidR="00E7280D" w:rsidRPr="0019263F" w:rsidRDefault="0019263F" w:rsidP="001B7E47">
      <w:pPr>
        <w:jc w:val="both"/>
        <w:rPr>
          <w:i/>
        </w:rPr>
      </w:pPr>
      <w:r w:rsidRPr="0019263F">
        <w:rPr>
          <w:i/>
        </w:rPr>
        <w:t>Note : une consignation du départ « Marcel » et de la liaison souterraine existante est à prévoir lors de l’opération de remplacement du tableau HTA A.</w:t>
      </w:r>
    </w:p>
    <w:p w14:paraId="2D59E5D1" w14:textId="00CE1DF0" w:rsidR="00EB1B43" w:rsidRDefault="00EB1B43" w:rsidP="001B7E47">
      <w:pPr>
        <w:jc w:val="both"/>
      </w:pPr>
      <w:r>
        <w:t>Suite à la rénovation, la charge des consommateurs du tunnel sera répartie de façon approximativement égale sur les deux tableaux HTA, et donc sur les deux départs distincts de postes source ENEDIS</w:t>
      </w:r>
      <w:r w:rsidR="001B7E47">
        <w:t xml:space="preserve"> distincts</w:t>
      </w:r>
      <w:r>
        <w:t>.</w:t>
      </w:r>
    </w:p>
    <w:p w14:paraId="3F22F868" w14:textId="2D1653EE" w:rsidR="00EB1B43" w:rsidRDefault="00EB1B43" w:rsidP="001B7E47">
      <w:pPr>
        <w:jc w:val="both"/>
      </w:pPr>
      <w:r>
        <w:t>En cas de défaillance d’une tranche d’alimentation (poste source ENEDIS, tableau HTA</w:t>
      </w:r>
      <w:r w:rsidR="00796EB0">
        <w:t xml:space="preserve"> </w:t>
      </w:r>
      <w:proofErr w:type="spellStart"/>
      <w:r w:rsidR="00796EB0">
        <w:t>Dirif</w:t>
      </w:r>
      <w:proofErr w:type="spellEnd"/>
      <w:r>
        <w:t xml:space="preserve"> ou transformateur</w:t>
      </w:r>
      <w:r w:rsidR="00796EB0">
        <w:t xml:space="preserve"> </w:t>
      </w:r>
      <w:proofErr w:type="spellStart"/>
      <w:r w:rsidR="00796EB0">
        <w:t>Dirif</w:t>
      </w:r>
      <w:proofErr w:type="spellEnd"/>
      <w:r>
        <w:t>)</w:t>
      </w:r>
      <w:r w:rsidR="000E5B5D">
        <w:t>, la source HTA restante reprendra les consommateurs dits « non délestables »</w:t>
      </w:r>
      <w:r w:rsidR="00393F26">
        <w:t xml:space="preserve"> (au sens de la </w:t>
      </w:r>
      <w:proofErr w:type="spellStart"/>
      <w:r w:rsidR="00393F26">
        <w:t>Dirif</w:t>
      </w:r>
      <w:proofErr w:type="spellEnd"/>
      <w:r w:rsidR="00393F26">
        <w:t>)</w:t>
      </w:r>
      <w:r w:rsidR="000E5B5D">
        <w:t xml:space="preserve"> de l’autre tranche.</w:t>
      </w:r>
    </w:p>
    <w:p w14:paraId="19E44A08" w14:textId="05C819A4" w:rsidR="000E5B5D" w:rsidRDefault="000E5B5D" w:rsidP="001B7E47">
      <w:pPr>
        <w:jc w:val="both"/>
      </w:pPr>
      <w:r>
        <w:t xml:space="preserve">Ainsi le nouveau départ du poste source de la tranche B doit être à même d’alimenter </w:t>
      </w:r>
      <w:proofErr w:type="gramStart"/>
      <w:r w:rsidR="0019263F">
        <w:t>a</w:t>
      </w:r>
      <w:proofErr w:type="gramEnd"/>
      <w:r w:rsidR="0019263F">
        <w:t xml:space="preserve"> minima </w:t>
      </w:r>
      <w:r>
        <w:t>la moitié des consommateurs du tunnel et les consommateurs non délestables de la tranche A.</w:t>
      </w:r>
    </w:p>
    <w:p w14:paraId="230B977E" w14:textId="22C8826D" w:rsidR="000E5B5D" w:rsidRDefault="000E5B5D" w:rsidP="001B7E47">
      <w:pPr>
        <w:jc w:val="both"/>
      </w:pPr>
      <w:r>
        <w:t xml:space="preserve">Le départ « Marcel » de la tranche A existante est déjà suffisamment dimensionné pour alimenter la moitié des utilisateurs du tunnel et les utilisateurs non délestables de la tranche B, y compris en tenant en compte </w:t>
      </w:r>
      <w:r w:rsidR="00BF4342">
        <w:t>la modification</w:t>
      </w:r>
      <w:r>
        <w:t xml:space="preserve"> de</w:t>
      </w:r>
      <w:r w:rsidR="00BF4342">
        <w:t>s</w:t>
      </w:r>
      <w:r>
        <w:t xml:space="preserve"> consommation</w:t>
      </w:r>
      <w:r w:rsidR="00BF4342">
        <w:t>s</w:t>
      </w:r>
      <w:r>
        <w:t xml:space="preserve"> des équipements du tunnel suite à la rénovation (renforcement éclairage et ventilation de désenfumage). En effet ce départ alimente actuellement la totalité des consommateurs du tunnel.</w:t>
      </w:r>
    </w:p>
    <w:p w14:paraId="2CED45A2" w14:textId="6AB1393B" w:rsidR="000E5B5D" w:rsidRDefault="000E5B5D" w:rsidP="001B7E47">
      <w:pPr>
        <w:jc w:val="both"/>
      </w:pPr>
      <w:r>
        <w:t xml:space="preserve">Conformément à la directive </w:t>
      </w:r>
      <w:proofErr w:type="spellStart"/>
      <w:r>
        <w:t>Dirif</w:t>
      </w:r>
      <w:proofErr w:type="spellEnd"/>
      <w:r>
        <w:t>, l’</w:t>
      </w:r>
      <w:r w:rsidR="00DA0AB4">
        <w:t>autorisation</w:t>
      </w:r>
      <w:r>
        <w:t xml:space="preserve"> de </w:t>
      </w:r>
      <w:r w:rsidR="00DA0AB4">
        <w:t xml:space="preserve">re-lestage des </w:t>
      </w:r>
      <w:r w:rsidR="003E020C">
        <w:t>consommateurs</w:t>
      </w:r>
      <w:r w:rsidR="00DA0AB4">
        <w:t xml:space="preserve"> non délestables sur la source ENEDIS restante en cas d’incident peut être émise par ENEDIS et doit dans ce cas être prise </w:t>
      </w:r>
      <w:r w:rsidR="00DA0AB4">
        <w:lastRenderedPageBreak/>
        <w:t>en compte par les automatismes des équipements de distribution du tunnel</w:t>
      </w:r>
      <w:r w:rsidR="003E020C">
        <w:t xml:space="preserve"> qui autoriseront ou interdiront les basculements de sources des consommateurs non délestables</w:t>
      </w:r>
      <w:r w:rsidR="00DA0AB4">
        <w:t>.</w:t>
      </w:r>
    </w:p>
    <w:p w14:paraId="2BED6EE4" w14:textId="4F78193F" w:rsidR="0019263F" w:rsidRDefault="0019263F" w:rsidP="001B7E47">
      <w:pPr>
        <w:jc w:val="both"/>
      </w:pPr>
      <w:r>
        <w:t xml:space="preserve">Il est à noter qu’une autorisation de transfert de charge totale d’une tranche sur l’autre peut être envisagée entre ENEDIS et la </w:t>
      </w:r>
      <w:proofErr w:type="spellStart"/>
      <w:r>
        <w:t>Dirif</w:t>
      </w:r>
      <w:proofErr w:type="spellEnd"/>
      <w:r>
        <w:t xml:space="preserve"> et est à convenir entre les deux parties</w:t>
      </w:r>
      <w:r w:rsidR="00864C3D">
        <w:t xml:space="preserve"> le cas échéant</w:t>
      </w:r>
      <w:r>
        <w:t>.</w:t>
      </w:r>
      <w:r w:rsidR="00AB1107">
        <w:t xml:space="preserve"> Il s’agit de la solution préférentielle pour la </w:t>
      </w:r>
      <w:proofErr w:type="spellStart"/>
      <w:r w:rsidR="00AB1107">
        <w:t>Dirif</w:t>
      </w:r>
      <w:proofErr w:type="spellEnd"/>
      <w:r w:rsidR="00AB1107">
        <w:t>.</w:t>
      </w:r>
    </w:p>
    <w:p w14:paraId="4D6D553C" w14:textId="78615933" w:rsidR="002F70B3" w:rsidRPr="005B5323" w:rsidRDefault="002F70B3" w:rsidP="001B7E47">
      <w:pPr>
        <w:jc w:val="both"/>
        <w:rPr>
          <w:b/>
        </w:rPr>
      </w:pPr>
      <w:r w:rsidRPr="005B5323">
        <w:rPr>
          <w:b/>
        </w:rPr>
        <w:t>En conséquence nous requérons une alimentation de puissance nominale 500kVA, comprenant 340kVA de force motrice (accélérateurs de dése</w:t>
      </w:r>
      <w:bookmarkStart w:id="0" w:name="_GoBack"/>
      <w:bookmarkEnd w:id="0"/>
      <w:r w:rsidRPr="005B5323">
        <w:rPr>
          <w:b/>
        </w:rPr>
        <w:t>nfumage).</w:t>
      </w:r>
    </w:p>
    <w:p w14:paraId="603B7D7D" w14:textId="77777777" w:rsidR="005B5323" w:rsidRDefault="005B5323" w:rsidP="005B5323"/>
    <w:p w14:paraId="6238B418" w14:textId="77777777" w:rsidR="005B5323" w:rsidRDefault="005B5323" w:rsidP="005B5323"/>
    <w:p w14:paraId="2A14AABE" w14:textId="77777777" w:rsidR="005B5323" w:rsidRDefault="005B5323" w:rsidP="005B5323"/>
    <w:p w14:paraId="0F8575C7" w14:textId="3461E180" w:rsidR="005B5323" w:rsidRPr="005B5323" w:rsidRDefault="005B5323" w:rsidP="005B5323">
      <w:pPr>
        <w:rPr>
          <w:u w:val="single"/>
        </w:rPr>
      </w:pPr>
      <w:r w:rsidRPr="005B5323">
        <w:rPr>
          <w:u w:val="single"/>
        </w:rPr>
        <w:t>Annexe 1 : bilan de puissance détaillé selon les cas d’exploitation.</w:t>
      </w:r>
    </w:p>
    <w:p w14:paraId="5F98A7CD" w14:textId="3ED514A3" w:rsidR="00E322DB" w:rsidRDefault="00E322DB" w:rsidP="001B7E47">
      <w:pPr>
        <w:jc w:val="both"/>
      </w:pPr>
      <w:r>
        <w:t>Pour la tranche B</w:t>
      </w:r>
      <w:r w:rsidR="00680D58">
        <w:t xml:space="preserve"> le bilan de puissance estimatif en phase AVP est estimé à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7"/>
        <w:gridCol w:w="1775"/>
        <w:gridCol w:w="1770"/>
        <w:gridCol w:w="1744"/>
        <w:gridCol w:w="1976"/>
      </w:tblGrid>
      <w:tr w:rsidR="00E4498D" w14:paraId="3EAA14F5" w14:textId="77777777" w:rsidTr="00A15345">
        <w:tc>
          <w:tcPr>
            <w:tcW w:w="1812" w:type="dxa"/>
          </w:tcPr>
          <w:p w14:paraId="745D75EB" w14:textId="77777777" w:rsidR="00E4498D" w:rsidRDefault="00E4498D" w:rsidP="00E4498D"/>
        </w:tc>
        <w:tc>
          <w:tcPr>
            <w:tcW w:w="1812" w:type="dxa"/>
          </w:tcPr>
          <w:p w14:paraId="40819BF3" w14:textId="450E2DE8" w:rsidR="00E4498D" w:rsidRDefault="00E4498D" w:rsidP="00E4498D">
            <w:pPr>
              <w:jc w:val="center"/>
            </w:pPr>
            <w:r>
              <w:t>Total général hors force motrice et hors incident</w:t>
            </w:r>
            <w:r w:rsidR="002907EA">
              <w:t xml:space="preserve"> d’exploitation</w:t>
            </w:r>
          </w:p>
        </w:tc>
        <w:tc>
          <w:tcPr>
            <w:tcW w:w="1812" w:type="dxa"/>
          </w:tcPr>
          <w:p w14:paraId="422B5D21" w14:textId="77777777" w:rsidR="00A01762" w:rsidRDefault="00A01762" w:rsidP="00A01762">
            <w:pPr>
              <w:jc w:val="center"/>
            </w:pPr>
            <w:r>
              <w:t>Total général hors incident + 12,5% force motrice habituelle pour ventilation sanitaire</w:t>
            </w:r>
          </w:p>
          <w:p w14:paraId="4748A28D" w14:textId="211C66D1" w:rsidR="00E4498D" w:rsidRDefault="00E4498D" w:rsidP="00E4498D">
            <w:pPr>
              <w:jc w:val="center"/>
            </w:pPr>
          </w:p>
        </w:tc>
        <w:tc>
          <w:tcPr>
            <w:tcW w:w="1813" w:type="dxa"/>
          </w:tcPr>
          <w:p w14:paraId="4890DCEE" w14:textId="1DB84E27" w:rsidR="00E4498D" w:rsidRDefault="00A01762" w:rsidP="00E4498D">
            <w:pPr>
              <w:jc w:val="center"/>
            </w:pPr>
            <w:r>
              <w:t>Total général hors force motrice en cas d’incendie (coupure des circuits d’</w:t>
            </w:r>
            <w:proofErr w:type="spellStart"/>
            <w:r>
              <w:t>écl</w:t>
            </w:r>
            <w:proofErr w:type="spellEnd"/>
            <w:r>
              <w:t xml:space="preserve">. </w:t>
            </w:r>
            <w:proofErr w:type="gramStart"/>
            <w:r>
              <w:t>de</w:t>
            </w:r>
            <w:proofErr w:type="gramEnd"/>
            <w:r>
              <w:t xml:space="preserve"> </w:t>
            </w:r>
            <w:proofErr w:type="spellStart"/>
            <w:r>
              <w:t>renf</w:t>
            </w:r>
            <w:proofErr w:type="spellEnd"/>
            <w:r>
              <w:t>.)</w:t>
            </w:r>
          </w:p>
        </w:tc>
        <w:tc>
          <w:tcPr>
            <w:tcW w:w="1813" w:type="dxa"/>
          </w:tcPr>
          <w:p w14:paraId="78786AE7" w14:textId="370E9404" w:rsidR="00E4498D" w:rsidRDefault="00A01762" w:rsidP="00A01762">
            <w:pPr>
              <w:jc w:val="center"/>
            </w:pPr>
            <w:r>
              <w:t>Total général en cas d’incendie (coupure des circuits d’</w:t>
            </w:r>
            <w:proofErr w:type="spellStart"/>
            <w:r>
              <w:t>écl</w:t>
            </w:r>
            <w:proofErr w:type="spellEnd"/>
            <w:r>
              <w:t xml:space="preserve">. </w:t>
            </w:r>
            <w:proofErr w:type="gramStart"/>
            <w:r>
              <w:t>de</w:t>
            </w:r>
            <w:proofErr w:type="gramEnd"/>
            <w:r>
              <w:t xml:space="preserve"> </w:t>
            </w:r>
            <w:proofErr w:type="spellStart"/>
            <w:r>
              <w:t>renf</w:t>
            </w:r>
            <w:proofErr w:type="spellEnd"/>
            <w:r>
              <w:t>.) + 100% force motrice désenfumage</w:t>
            </w:r>
          </w:p>
        </w:tc>
      </w:tr>
      <w:tr w:rsidR="00E4498D" w14:paraId="565D0A12" w14:textId="77777777" w:rsidTr="00A15345">
        <w:tc>
          <w:tcPr>
            <w:tcW w:w="1812" w:type="dxa"/>
          </w:tcPr>
          <w:p w14:paraId="1DF2CA5B" w14:textId="4725FE3F" w:rsidR="00E4498D" w:rsidRDefault="00E4498D" w:rsidP="00E4498D">
            <w:r>
              <w:t>Mode nominal tranche B</w:t>
            </w:r>
          </w:p>
        </w:tc>
        <w:tc>
          <w:tcPr>
            <w:tcW w:w="1812" w:type="dxa"/>
          </w:tcPr>
          <w:p w14:paraId="0649C640" w14:textId="76016548" w:rsidR="00E4498D" w:rsidRDefault="00D507FA" w:rsidP="002907EA">
            <w:pPr>
              <w:jc w:val="center"/>
            </w:pPr>
            <w:r>
              <w:t>1</w:t>
            </w:r>
            <w:r w:rsidR="008C3732">
              <w:t>3</w:t>
            </w:r>
            <w:r>
              <w:t>0kVA</w:t>
            </w:r>
          </w:p>
        </w:tc>
        <w:tc>
          <w:tcPr>
            <w:tcW w:w="1812" w:type="dxa"/>
          </w:tcPr>
          <w:p w14:paraId="2DC6CCF5" w14:textId="77777777" w:rsidR="00E4498D" w:rsidRDefault="0026030E" w:rsidP="002907EA">
            <w:pPr>
              <w:jc w:val="center"/>
            </w:pPr>
            <w:r>
              <w:t>1</w:t>
            </w:r>
            <w:r w:rsidR="002B435B">
              <w:t>3</w:t>
            </w:r>
            <w:r>
              <w:t>0</w:t>
            </w:r>
            <w:r w:rsidR="004C0D74">
              <w:t xml:space="preserve"> </w:t>
            </w:r>
            <w:r>
              <w:t>kVA</w:t>
            </w:r>
            <w:r w:rsidR="00A01762">
              <w:t xml:space="preserve"> + FM 42 kVA</w:t>
            </w:r>
          </w:p>
          <w:p w14:paraId="574739C6" w14:textId="6742EE7B" w:rsidR="00637648" w:rsidRPr="00637648" w:rsidRDefault="00637648" w:rsidP="002907EA">
            <w:pPr>
              <w:jc w:val="center"/>
              <w:rPr>
                <w:b/>
              </w:rPr>
            </w:pPr>
            <w:r w:rsidRPr="00637648">
              <w:rPr>
                <w:b/>
              </w:rPr>
              <w:t>(Puissance de souscription)</w:t>
            </w:r>
          </w:p>
        </w:tc>
        <w:tc>
          <w:tcPr>
            <w:tcW w:w="1813" w:type="dxa"/>
          </w:tcPr>
          <w:p w14:paraId="6280476E" w14:textId="5F8C9AF9" w:rsidR="00E4498D" w:rsidRDefault="000D2730" w:rsidP="002907EA">
            <w:pPr>
              <w:jc w:val="center"/>
            </w:pPr>
            <w:r>
              <w:t>100</w:t>
            </w:r>
            <w:r w:rsidR="004C0D74">
              <w:t xml:space="preserve"> kVA</w:t>
            </w:r>
          </w:p>
        </w:tc>
        <w:tc>
          <w:tcPr>
            <w:tcW w:w="1813" w:type="dxa"/>
          </w:tcPr>
          <w:p w14:paraId="6E413361" w14:textId="2C7E296A" w:rsidR="00E4498D" w:rsidRDefault="004C0D74" w:rsidP="002907EA">
            <w:pPr>
              <w:jc w:val="center"/>
            </w:pPr>
            <w:r>
              <w:t xml:space="preserve">100 kVA + </w:t>
            </w:r>
            <w:r w:rsidR="00A01762">
              <w:t>FM 337 kVA</w:t>
            </w:r>
          </w:p>
        </w:tc>
      </w:tr>
      <w:tr w:rsidR="00A01762" w14:paraId="01E32BF8" w14:textId="77777777" w:rsidTr="00A15345">
        <w:tc>
          <w:tcPr>
            <w:tcW w:w="1812" w:type="dxa"/>
          </w:tcPr>
          <w:p w14:paraId="4A583BDD" w14:textId="1797802B" w:rsidR="00A01762" w:rsidRDefault="00A01762" w:rsidP="00A01762">
            <w:r>
              <w:t>Mode dégradé : tranche B + consommateurs non délestables de la tranche A</w:t>
            </w:r>
          </w:p>
        </w:tc>
        <w:tc>
          <w:tcPr>
            <w:tcW w:w="1812" w:type="dxa"/>
          </w:tcPr>
          <w:p w14:paraId="35FD79A2" w14:textId="6412C61F" w:rsidR="00A01762" w:rsidRDefault="00A01762" w:rsidP="00A01762">
            <w:pPr>
              <w:jc w:val="center"/>
            </w:pPr>
            <w:r>
              <w:t>1</w:t>
            </w:r>
            <w:r w:rsidR="008527DA">
              <w:t>3</w:t>
            </w:r>
            <w:r>
              <w:t>0kVA + 55kVA</w:t>
            </w:r>
          </w:p>
        </w:tc>
        <w:tc>
          <w:tcPr>
            <w:tcW w:w="1812" w:type="dxa"/>
          </w:tcPr>
          <w:p w14:paraId="5830085A" w14:textId="2FE55F3D" w:rsidR="00A01762" w:rsidRDefault="00A01762" w:rsidP="00A01762">
            <w:pPr>
              <w:jc w:val="center"/>
            </w:pPr>
            <w:r>
              <w:t>1</w:t>
            </w:r>
            <w:r w:rsidR="002B435B">
              <w:t>3</w:t>
            </w:r>
            <w:r>
              <w:t xml:space="preserve">0kVA + 55kVA + FM 42kVA </w:t>
            </w:r>
          </w:p>
        </w:tc>
        <w:tc>
          <w:tcPr>
            <w:tcW w:w="1813" w:type="dxa"/>
          </w:tcPr>
          <w:p w14:paraId="45BD4FFE" w14:textId="30223CAB" w:rsidR="00A01762" w:rsidRDefault="004C0D74" w:rsidP="00A01762">
            <w:pPr>
              <w:jc w:val="center"/>
            </w:pPr>
            <w:r>
              <w:t>100 kVA + 55kVA</w:t>
            </w:r>
          </w:p>
        </w:tc>
        <w:tc>
          <w:tcPr>
            <w:tcW w:w="1813" w:type="dxa"/>
          </w:tcPr>
          <w:p w14:paraId="3CF01DF1" w14:textId="77777777" w:rsidR="00A01762" w:rsidRPr="00637648" w:rsidRDefault="004C0D74" w:rsidP="00A01762">
            <w:pPr>
              <w:jc w:val="center"/>
            </w:pPr>
            <w:r w:rsidRPr="00637648">
              <w:t xml:space="preserve">100kVA + 55 kVA + </w:t>
            </w:r>
            <w:r w:rsidR="00A01762" w:rsidRPr="00637648">
              <w:t>FM 337 kVA</w:t>
            </w:r>
          </w:p>
          <w:p w14:paraId="0AB2A150" w14:textId="112E7076" w:rsidR="00637648" w:rsidRPr="00637648" w:rsidRDefault="00637648" w:rsidP="00A01762">
            <w:pPr>
              <w:jc w:val="center"/>
              <w:rPr>
                <w:b/>
                <w:highlight w:val="red"/>
              </w:rPr>
            </w:pPr>
            <w:r w:rsidRPr="00637648">
              <w:rPr>
                <w:b/>
              </w:rPr>
              <w:t>(Dimensionnement du départ ENEDIS</w:t>
            </w:r>
            <w:r w:rsidR="00A41171">
              <w:rPr>
                <w:b/>
              </w:rPr>
              <w:t xml:space="preserve"> et de la LS</w:t>
            </w:r>
            <w:r w:rsidRPr="00637648">
              <w:rPr>
                <w:b/>
              </w:rPr>
              <w:t>)</w:t>
            </w:r>
          </w:p>
        </w:tc>
      </w:tr>
    </w:tbl>
    <w:p w14:paraId="1638E1D8" w14:textId="7100A0BA" w:rsidR="00A15345" w:rsidRDefault="00A15345" w:rsidP="00680D58"/>
    <w:sectPr w:rsidR="00A1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531F0"/>
    <w:multiLevelType w:val="hybridMultilevel"/>
    <w:tmpl w:val="071C1F28"/>
    <w:lvl w:ilvl="0" w:tplc="B4B40D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AF"/>
    <w:rsid w:val="00004B30"/>
    <w:rsid w:val="00050DB9"/>
    <w:rsid w:val="000D2730"/>
    <w:rsid w:val="000E308F"/>
    <w:rsid w:val="000E5B5D"/>
    <w:rsid w:val="00163359"/>
    <w:rsid w:val="0019263F"/>
    <w:rsid w:val="001B7E47"/>
    <w:rsid w:val="0026030E"/>
    <w:rsid w:val="0028509B"/>
    <w:rsid w:val="002907EA"/>
    <w:rsid w:val="002A2E32"/>
    <w:rsid w:val="002B435B"/>
    <w:rsid w:val="002F70B3"/>
    <w:rsid w:val="00393F26"/>
    <w:rsid w:val="003E020C"/>
    <w:rsid w:val="00441B01"/>
    <w:rsid w:val="004C0D74"/>
    <w:rsid w:val="0052531B"/>
    <w:rsid w:val="0059682A"/>
    <w:rsid w:val="005B5323"/>
    <w:rsid w:val="00637648"/>
    <w:rsid w:val="00680D58"/>
    <w:rsid w:val="006C3CAF"/>
    <w:rsid w:val="00796EB0"/>
    <w:rsid w:val="008527DA"/>
    <w:rsid w:val="00864C3D"/>
    <w:rsid w:val="008C3732"/>
    <w:rsid w:val="00A01762"/>
    <w:rsid w:val="00A15345"/>
    <w:rsid w:val="00A41171"/>
    <w:rsid w:val="00A65151"/>
    <w:rsid w:val="00AA0C69"/>
    <w:rsid w:val="00AB1055"/>
    <w:rsid w:val="00AB1107"/>
    <w:rsid w:val="00BF4342"/>
    <w:rsid w:val="00D507FA"/>
    <w:rsid w:val="00DA0AB4"/>
    <w:rsid w:val="00E322DB"/>
    <w:rsid w:val="00E4498D"/>
    <w:rsid w:val="00E7280D"/>
    <w:rsid w:val="00E86242"/>
    <w:rsid w:val="00EB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4890"/>
  <w15:chartTrackingRefBased/>
  <w15:docId w15:val="{04490F37-2DDF-4264-B593-A2B30495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8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5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649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Benazech Marc</dc:creator>
  <cp:keywords/>
  <dc:description/>
  <cp:lastModifiedBy>Benazech Marc</cp:lastModifiedBy>
  <cp:revision>39</cp:revision>
  <dcterms:created xsi:type="dcterms:W3CDTF">2018-01-19T09:41:00Z</dcterms:created>
  <dcterms:modified xsi:type="dcterms:W3CDTF">2018-01-30T10:25:00Z</dcterms:modified>
</cp:coreProperties>
</file>